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color w:val="222222"/>
          <w:sz w:val="52"/>
          <w:szCs w:val="52"/>
        </w:rPr>
      </w:pPr>
      <w:r w:rsidDel="00000000" w:rsidR="00000000" w:rsidRPr="00000000">
        <w:rPr>
          <w:rFonts w:ascii="Calibri" w:cs="Calibri" w:eastAsia="Calibri" w:hAnsi="Calibri"/>
          <w:color w:val="222222"/>
          <w:sz w:val="52"/>
          <w:szCs w:val="52"/>
          <w:rtl w:val="0"/>
        </w:rPr>
        <w:t xml:space="preserve">Youth Gambling and Gaming – O</w:t>
      </w:r>
      <w:r w:rsidDel="00000000" w:rsidR="00000000" w:rsidRPr="00000000">
        <w:rPr>
          <w:rFonts w:ascii="Calibri" w:cs="Calibri" w:eastAsia="Calibri" w:hAnsi="Calibri"/>
          <w:color w:val="222222"/>
          <w:sz w:val="52"/>
          <w:szCs w:val="52"/>
          <w:rtl w:val="0"/>
        </w:rPr>
        <w:t xml:space="preserve">nline Training </w:t>
      </w:r>
    </w:p>
    <w:p w:rsidR="00000000" w:rsidDel="00000000" w:rsidP="00000000" w:rsidRDefault="00000000" w:rsidRPr="00000000" w14:paraId="00000002">
      <w:pPr>
        <w:shd w:fill="ffffff" w:val="clear"/>
        <w:rPr>
          <w:b w:val="1"/>
          <w:color w:val="222222"/>
          <w:u w:val="single"/>
        </w:rPr>
      </w:pP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Wednesday 3rd March 2021, 10:00am -12:00pm</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HEP would like to share information about some fantastic online training run by </w:t>
      </w:r>
      <w:r w:rsidDel="00000000" w:rsidR="00000000" w:rsidRPr="00000000">
        <w:rPr>
          <w:rFonts w:ascii="Calibri" w:cs="Calibri" w:eastAsia="Calibri" w:hAnsi="Calibri"/>
          <w:b w:val="1"/>
          <w:sz w:val="24"/>
          <w:szCs w:val="24"/>
          <w:rtl w:val="0"/>
        </w:rPr>
        <w:t xml:space="preserve">The Young Gamers and Gamblers Education Trust (YGAM).</w:t>
      </w:r>
    </w:p>
    <w:p w:rsidR="00000000" w:rsidDel="00000000" w:rsidP="00000000" w:rsidRDefault="00000000" w:rsidRPr="00000000" w14:paraId="00000006">
      <w:pPr>
        <w:shd w:fill="ffffff" w:val="clear"/>
        <w:jc w:val="left"/>
        <w:rPr>
          <w:rFonts w:ascii="Calibri" w:cs="Calibri" w:eastAsia="Calibri" w:hAnsi="Calibri"/>
          <w:b w:val="1"/>
          <w:color w:val="222222"/>
          <w:sz w:val="24"/>
          <w:szCs w:val="24"/>
        </w:rPr>
      </w:pPr>
      <w:r w:rsidDel="00000000" w:rsidR="00000000" w:rsidRPr="00000000">
        <w:rPr>
          <w:b w:val="1"/>
          <w:color w:val="222222"/>
          <w:rtl w:val="0"/>
        </w:rPr>
        <w:t xml:space="preserve">Youth gaming and gambling harm prevention online training</w:t>
      </w:r>
      <w:r w:rsidDel="00000000" w:rsidR="00000000" w:rsidRPr="00000000">
        <w:rPr>
          <w:rFonts w:ascii="Calibri" w:cs="Calibri" w:eastAsia="Calibri" w:hAnsi="Calibri"/>
          <w:b w:val="1"/>
          <w:color w:val="222222"/>
          <w:sz w:val="24"/>
          <w:szCs w:val="24"/>
          <w:rtl w:val="0"/>
        </w:rPr>
        <w:t xml:space="preserve"> – </w:t>
      </w:r>
    </w:p>
    <w:p w:rsidR="00000000" w:rsidDel="00000000" w:rsidP="00000000" w:rsidRDefault="00000000" w:rsidRPr="00000000" w14:paraId="00000007">
      <w:pPr>
        <w:shd w:fill="ffffff" w:val="clear"/>
        <w:jc w:val="left"/>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3rd March, 10:00am-12:00pm</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The YGAM is a national education charity that works to provide knowledge and tools to educate, inform and safeguard those who work with young and vulnerable people against the potential harms of gaming and gambling.</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The latest report from the Gambling Commission (October 2019) found that 11% of 11 – 16 year olds had spent their own money on a gambling activity in the last seven days (this equate to 350,000), and 55,000 young people were already identified as problematic gamblers. The Children’s Commissioner found that a staggering 93% of young people play video games, a hugely popular activity which carries a range of potential risks including grooming. </w:t>
      </w:r>
    </w:p>
    <w:p w:rsidR="00000000" w:rsidDel="00000000" w:rsidP="00000000" w:rsidRDefault="00000000" w:rsidRPr="00000000" w14:paraId="0000000C">
      <w:pPr>
        <w:shd w:fill="ffffff" w:val="clear"/>
        <w:rPr>
          <w:color w:val="222222"/>
        </w:rPr>
      </w:pPr>
      <w:r w:rsidDel="00000000" w:rsidR="00000000" w:rsidRPr="00000000">
        <w:rPr>
          <w:rtl w:val="0"/>
        </w:rPr>
      </w:r>
    </w:p>
    <w:p w:rsidR="00000000" w:rsidDel="00000000" w:rsidP="00000000" w:rsidRDefault="00000000" w:rsidRPr="00000000" w14:paraId="0000000D">
      <w:pPr>
        <w:shd w:fill="ffffff" w:val="clear"/>
        <w:rPr/>
      </w:pPr>
      <w:r w:rsidDel="00000000" w:rsidR="00000000" w:rsidRPr="00000000">
        <w:rPr>
          <w:b w:val="1"/>
          <w:color w:val="222222"/>
          <w:rtl w:val="0"/>
        </w:rPr>
        <w:t xml:space="preserve">After completing the training, delegates will receive a digital City &amp; Guilds certificate to evidence their CPD</w:t>
      </w:r>
      <w:r w:rsidDel="00000000" w:rsidR="00000000" w:rsidRPr="00000000">
        <w:rPr>
          <w:color w:val="222222"/>
          <w:rtl w:val="0"/>
        </w:rPr>
        <w:t xml:space="preserve">, along with access to over 450 age appropriate resources and activities across all year groups, written by youth workers and teachers, including</w:t>
      </w:r>
      <w:r w:rsidDel="00000000" w:rsidR="00000000" w:rsidRPr="00000000">
        <w:rPr>
          <w:rtl w:val="0"/>
        </w:rPr>
        <w:t xml:space="preserve"> ‘ready to go</w:t>
      </w:r>
      <w:r w:rsidDel="00000000" w:rsidR="00000000" w:rsidRPr="00000000">
        <w:rPr>
          <w:color w:val="222222"/>
          <w:rtl w:val="0"/>
        </w:rPr>
        <w:t xml:space="preserve">’</w:t>
      </w:r>
      <w:r w:rsidDel="00000000" w:rsidR="00000000" w:rsidRPr="00000000">
        <w:rPr>
          <w:rtl w:val="0"/>
        </w:rPr>
        <w:t xml:space="preserve">  lesson plans, information sheets, PowerPoints and infographics. We cover KS2 to KS5 in schools and youth work resources for ages under 13, under 16, and 16+.  </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Training content will cover:</w:t>
      </w:r>
    </w:p>
    <w:p w:rsidR="00000000" w:rsidDel="00000000" w:rsidP="00000000" w:rsidRDefault="00000000" w:rsidRPr="00000000" w14:paraId="00000010">
      <w:pPr>
        <w:shd w:fill="ffffff" w:val="clear"/>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0" w:afterAutospacing="0" w:lineRule="auto"/>
        <w:ind w:left="9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how young people are increasingly exposed to gaming and gambling</w:t>
      </w:r>
    </w:p>
    <w:p w:rsidR="00000000" w:rsidDel="00000000" w:rsidP="00000000" w:rsidRDefault="00000000" w:rsidRPr="00000000" w14:paraId="00000012">
      <w:pPr>
        <w:numPr>
          <w:ilvl w:val="0"/>
          <w:numId w:val="1"/>
        </w:numPr>
        <w:shd w:fill="ffffff" w:val="clear"/>
        <w:spacing w:after="0" w:afterAutospacing="0" w:lineRule="auto"/>
        <w:ind w:left="9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the influence of advertising, particularly around sporting events</w:t>
      </w:r>
    </w:p>
    <w:p w:rsidR="00000000" w:rsidDel="00000000" w:rsidP="00000000" w:rsidRDefault="00000000" w:rsidRPr="00000000" w14:paraId="00000013">
      <w:pPr>
        <w:numPr>
          <w:ilvl w:val="0"/>
          <w:numId w:val="1"/>
        </w:numPr>
        <w:shd w:fill="ffffff" w:val="clear"/>
        <w:spacing w:after="0" w:afterAutospacing="0" w:lineRule="auto"/>
        <w:ind w:left="9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the role of social media, in game purchases, loot boxes and Esports</w:t>
      </w:r>
    </w:p>
    <w:p w:rsidR="00000000" w:rsidDel="00000000" w:rsidP="00000000" w:rsidRDefault="00000000" w:rsidRPr="00000000" w14:paraId="00000014">
      <w:pPr>
        <w:numPr>
          <w:ilvl w:val="0"/>
          <w:numId w:val="1"/>
        </w:numPr>
        <w:shd w:fill="ffffff" w:val="clear"/>
        <w:spacing w:after="0" w:afterAutospacing="0" w:lineRule="auto"/>
        <w:ind w:left="9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the signs of harm and where to seek help</w:t>
      </w:r>
    </w:p>
    <w:p w:rsidR="00000000" w:rsidDel="00000000" w:rsidP="00000000" w:rsidRDefault="00000000" w:rsidRPr="00000000" w14:paraId="00000015">
      <w:pPr>
        <w:numPr>
          <w:ilvl w:val="0"/>
          <w:numId w:val="1"/>
        </w:numPr>
        <w:shd w:fill="ffffff" w:val="clear"/>
        <w:spacing w:after="200" w:lineRule="auto"/>
        <w:ind w:left="9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our resources</w:t>
      </w:r>
    </w:p>
    <w:p w:rsidR="00000000" w:rsidDel="00000000" w:rsidP="00000000" w:rsidRDefault="00000000" w:rsidRPr="00000000" w14:paraId="00000016">
      <w:pPr>
        <w:shd w:fill="ffffff" w:val="clear"/>
        <w:rPr>
          <w:rFonts w:ascii="Calibri" w:cs="Calibri" w:eastAsia="Calibri" w:hAnsi="Calibri"/>
          <w:color w:val="1f497d"/>
        </w:rPr>
      </w:pPr>
      <w:r w:rsidDel="00000000" w:rsidR="00000000" w:rsidRPr="00000000">
        <w:rPr>
          <w:rFonts w:ascii="Calibri" w:cs="Calibri" w:eastAsia="Calibri" w:hAnsi="Calibri"/>
          <w:color w:val="222222"/>
          <w:sz w:val="24"/>
          <w:szCs w:val="24"/>
          <w:rtl w:val="0"/>
        </w:rPr>
        <w:t xml:space="preserve">To book a place please click</w:t>
      </w:r>
      <w:r w:rsidDel="00000000" w:rsidR="00000000" w:rsidRPr="00000000">
        <w:rPr>
          <w:rFonts w:ascii="Calibri" w:cs="Calibri" w:eastAsia="Calibri" w:hAnsi="Calibri"/>
          <w:b w:val="1"/>
          <w:color w:val="222222"/>
          <w:sz w:val="24"/>
          <w:szCs w:val="24"/>
          <w:rtl w:val="0"/>
        </w:rPr>
        <w:t xml:space="preserve"> </w:t>
      </w:r>
      <w:hyperlink r:id="rId6">
        <w:r w:rsidDel="00000000" w:rsidR="00000000" w:rsidRPr="00000000">
          <w:rPr>
            <w:rFonts w:ascii="Calibri" w:cs="Calibri" w:eastAsia="Calibri" w:hAnsi="Calibri"/>
            <w:b w:val="1"/>
            <w:color w:val="1155cc"/>
            <w:sz w:val="24"/>
            <w:szCs w:val="24"/>
            <w:u w:val="single"/>
            <w:rtl w:val="0"/>
          </w:rPr>
          <w:t xml:space="preserve">here</w:t>
        </w:r>
      </w:hyperlink>
      <w:r w:rsidDel="00000000" w:rsidR="00000000" w:rsidRPr="00000000">
        <w:rPr>
          <w:rFonts w:ascii="Calibri" w:cs="Calibri" w:eastAsia="Calibri" w:hAnsi="Calibri"/>
          <w:color w:val="1f497d"/>
          <w:rtl w:val="0"/>
        </w:rPr>
        <w:t xml:space="preserve">.</w:t>
      </w:r>
      <w:r w:rsidDel="00000000" w:rsidR="00000000" w:rsidRPr="00000000">
        <w:rPr>
          <w:rtl w:val="0"/>
        </w:rPr>
      </w:r>
    </w:p>
    <w:p w:rsidR="00000000" w:rsidDel="00000000" w:rsidP="00000000" w:rsidRDefault="00000000" w:rsidRPr="00000000" w14:paraId="00000017">
      <w:pPr>
        <w:shd w:fill="ffffff" w:val="clear"/>
        <w:rPr>
          <w:color w:val="1f497d"/>
        </w:rPr>
      </w:pPr>
      <w:r w:rsidDel="00000000" w:rsidR="00000000" w:rsidRPr="00000000">
        <w:rPr>
          <w:rtl w:val="0"/>
        </w:rPr>
      </w:r>
    </w:p>
    <w:p w:rsidR="00000000" w:rsidDel="00000000" w:rsidP="00000000" w:rsidRDefault="00000000" w:rsidRPr="00000000" w14:paraId="00000018">
      <w:pPr>
        <w:shd w:fill="ffffff" w:val="clear"/>
        <w:rPr>
          <w:color w:val="222222"/>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gam.org/bespoke-workshop-booking/?crb_workshop=03.03.2021.%20Bespoke%20OL%20FULL%20Youth.%20Met%20West%20London%20Schools.%20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